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605"/>
        <w:gridCol w:w="39"/>
      </w:tblGrid>
      <w:tr w:rsidR="00063554" w:rsidRPr="00063554">
        <w:tc>
          <w:tcPr>
            <w:tcW w:w="0" w:type="auto"/>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97"/>
            </w:tblGrid>
            <w:tr w:rsidR="00063554" w:rsidRPr="00063554">
              <w:tc>
                <w:tcPr>
                  <w:tcW w:w="0" w:type="auto"/>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79"/>
                    <w:gridCol w:w="7"/>
                  </w:tblGrid>
                  <w:tr w:rsidR="00063554" w:rsidRPr="00063554">
                    <w:tc>
                      <w:tcPr>
                        <w:tcW w:w="0" w:type="auto"/>
                        <w:tcMar>
                          <w:top w:w="0" w:type="dxa"/>
                          <w:left w:w="0" w:type="dxa"/>
                          <w:bottom w:w="0" w:type="dxa"/>
                          <w:right w:w="0" w:type="dxa"/>
                        </w:tcMar>
                        <w:hideMark/>
                      </w:tcPr>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64"/>
                          <w:gridCol w:w="7"/>
                        </w:tblGrid>
                        <w:tr w:rsidR="00063554" w:rsidRPr="00063554">
                          <w:tc>
                            <w:tcPr>
                              <w:tcW w:w="0" w:type="auto"/>
                              <w:tcMar>
                                <w:top w:w="0" w:type="dxa"/>
                                <w:left w:w="0" w:type="dxa"/>
                                <w:bottom w:w="0" w:type="dxa"/>
                                <w:right w:w="57" w:type="dxa"/>
                              </w:tcMar>
                              <w:hideMark/>
                            </w:tcPr>
                            <w:tbl>
                              <w:tblPr>
                                <w:tblW w:w="12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571"/>
                              </w:tblGrid>
                              <w:tr w:rsidR="00063554" w:rsidRPr="00063554" w:rsidTr="00063554">
                                <w:tc>
                                  <w:tcPr>
                                    <w:tcW w:w="0" w:type="auto"/>
                                    <w:tcMar>
                                      <w:top w:w="0" w:type="dxa"/>
                                      <w:left w:w="0" w:type="dxa"/>
                                      <w:bottom w:w="0" w:type="dxa"/>
                                      <w:right w:w="1600" w:type="dxa"/>
                                    </w:tcMar>
                                    <w:hideMark/>
                                  </w:tcPr>
                                  <w:tbl>
                                    <w:tblPr>
                                      <w:tblW w:w="5000" w:type="pct"/>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tblPr>
                                    <w:tblGrid>
                                      <w:gridCol w:w="10736"/>
                                      <w:gridCol w:w="229"/>
                                    </w:tblGrid>
                                    <w:tr w:rsidR="00063554" w:rsidRPr="00063554">
                                      <w:tc>
                                        <w:tcPr>
                                          <w:tcW w:w="0" w:type="auto"/>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r w:rsidRPr="00063554">
                                            <w:rPr>
                                              <w:rFonts w:ascii="Century Gothic" w:eastAsia="Times New Roman" w:hAnsi="Century Gothic" w:cs="Times New Roman"/>
                                              <w:color w:val="595959"/>
                                              <w:sz w:val="19"/>
                                              <w:szCs w:val="19"/>
                                              <w:lang w:eastAsia="lt-LT"/>
                                            </w:rPr>
                                            <w:t>GIDŲ MOKYMAI</w:t>
                                          </w:r>
                                          <w:r w:rsidRPr="00063554">
                                            <w:rPr>
                                              <w:rFonts w:ascii="Century Gothic" w:eastAsia="Times New Roman" w:hAnsi="Century Gothic" w:cs="Times New Roman"/>
                                              <w:color w:val="595959"/>
                                              <w:sz w:val="14"/>
                                              <w:szCs w:val="14"/>
                                              <w:lang w:eastAsia="lt-LT"/>
                                            </w:rPr>
                                            <w:t xml:space="preserve"> </w:t>
                                          </w:r>
                                        </w:p>
                                        <w:p w:rsidR="00063554" w:rsidRPr="00063554" w:rsidRDefault="00063554" w:rsidP="00063554">
                                          <w:pPr>
                                            <w:spacing w:before="100" w:beforeAutospacing="1" w:after="100" w:afterAutospacing="1" w:line="240" w:lineRule="auto"/>
                                            <w:rPr>
                                              <w:rFonts w:ascii="Century Gothic" w:eastAsia="Times New Roman" w:hAnsi="Century Gothic" w:cs="Times New Roman"/>
                                              <w:color w:val="595959"/>
                                              <w:sz w:val="14"/>
                                              <w:szCs w:val="14"/>
                                              <w:lang w:eastAsia="lt-LT"/>
                                            </w:rPr>
                                          </w:pPr>
                                          <w:r>
                                            <w:rPr>
                                              <w:rFonts w:ascii="Century Gothic" w:eastAsia="Times New Roman" w:hAnsi="Century Gothic" w:cs="Times New Roman"/>
                                              <w:noProof/>
                                              <w:color w:val="595959"/>
                                              <w:sz w:val="14"/>
                                              <w:szCs w:val="14"/>
                                              <w:lang w:eastAsia="lt-LT"/>
                                            </w:rPr>
                                            <w:drawing>
                                              <wp:inline distT="0" distB="0" distL="0" distR="0">
                                                <wp:extent cx="4799391" cy="3599543"/>
                                                <wp:effectExtent l="19050" t="0" r="1209" b="0"/>
                                                <wp:docPr id="1" name="Paveikslėlis 1" descr="http://www.bpmuziejus.lt/_admin/ckfinder/userfiles/images/Gidu%20moky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muziejus.lt/_admin/ckfinder/userfiles/images/Gidu%20mokymai.JPG"/>
                                                        <pic:cNvPicPr>
                                                          <a:picLocks noChangeAspect="1" noChangeArrowheads="1"/>
                                                        </pic:cNvPicPr>
                                                      </pic:nvPicPr>
                                                      <pic:blipFill>
                                                        <a:blip r:embed="rId4" cstate="print"/>
                                                        <a:srcRect/>
                                                        <a:stretch>
                                                          <a:fillRect/>
                                                        </a:stretch>
                                                      </pic:blipFill>
                                                      <pic:spPr bwMode="auto">
                                                        <a:xfrm>
                                                          <a:off x="0" y="0"/>
                                                          <a:ext cx="4798750" cy="3599062"/>
                                                        </a:xfrm>
                                                        <a:prstGeom prst="rect">
                                                          <a:avLst/>
                                                        </a:prstGeom>
                                                        <a:noFill/>
                                                        <a:ln w="9525">
                                                          <a:noFill/>
                                                          <a:miter lim="800000"/>
                                                          <a:headEnd/>
                                                          <a:tailEnd/>
                                                        </a:ln>
                                                      </pic:spPr>
                                                    </pic:pic>
                                                  </a:graphicData>
                                                </a:graphic>
                                              </wp:inline>
                                            </w:drawing>
                                          </w:r>
                                        </w:p>
                                        <w:p w:rsidR="00063554" w:rsidRPr="00063554" w:rsidRDefault="00063554" w:rsidP="00063554">
                                          <w:pPr>
                                            <w:spacing w:before="100" w:beforeAutospacing="1" w:after="100" w:afterAutospacing="1" w:line="240" w:lineRule="auto"/>
                                            <w:rPr>
                                              <w:rFonts w:ascii="Century Gothic" w:eastAsia="Times New Roman" w:hAnsi="Century Gothic" w:cs="Times New Roman"/>
                                              <w:color w:val="595959"/>
                                              <w:sz w:val="14"/>
                                              <w:szCs w:val="14"/>
                                              <w:lang w:eastAsia="lt-LT"/>
                                            </w:rPr>
                                          </w:pPr>
                                          <w:r w:rsidRPr="00063554">
                                            <w:rPr>
                                              <w:rFonts w:ascii="Century Gothic" w:eastAsia="Times New Roman" w:hAnsi="Century Gothic" w:cs="Times New Roman"/>
                                              <w:color w:val="595959"/>
                                              <w:sz w:val="14"/>
                                              <w:szCs w:val="14"/>
                                              <w:lang w:eastAsia="lt-LT"/>
                                            </w:rPr>
                                            <w:t xml:space="preserve">Bažnytinio paveldo muziejus balandžio mėnesį pasitiko gidų mokymais. Jų metu gidai galėjo įgyti ar atnaujinti savo žinias apie du lankytinus objektus Vilniuje: Bažnytinio paveldo muziejų ir Vilniaus katedros požemius. Mokymus vedė dr. Sigita </w:t>
                                          </w:r>
                                          <w:proofErr w:type="spellStart"/>
                                          <w:r w:rsidRPr="00063554">
                                            <w:rPr>
                                              <w:rFonts w:ascii="Century Gothic" w:eastAsia="Times New Roman" w:hAnsi="Century Gothic" w:cs="Times New Roman"/>
                                              <w:color w:val="595959"/>
                                              <w:sz w:val="14"/>
                                              <w:szCs w:val="14"/>
                                              <w:lang w:eastAsia="lt-LT"/>
                                            </w:rPr>
                                            <w:t>Maslauskaitė-Mažylienė</w:t>
                                          </w:r>
                                          <w:proofErr w:type="spellEnd"/>
                                          <w:r w:rsidRPr="00063554">
                                            <w:rPr>
                                              <w:rFonts w:ascii="Century Gothic" w:eastAsia="Times New Roman" w:hAnsi="Century Gothic" w:cs="Times New Roman"/>
                                              <w:color w:val="595959"/>
                                              <w:sz w:val="14"/>
                                              <w:szCs w:val="14"/>
                                              <w:lang w:eastAsia="lt-LT"/>
                                            </w:rPr>
                                            <w:t xml:space="preserve"> ir Gintvilė </w:t>
                                          </w:r>
                                          <w:proofErr w:type="spellStart"/>
                                          <w:r w:rsidRPr="00063554">
                                            <w:rPr>
                                              <w:rFonts w:ascii="Century Gothic" w:eastAsia="Times New Roman" w:hAnsi="Century Gothic" w:cs="Times New Roman"/>
                                              <w:color w:val="595959"/>
                                              <w:sz w:val="14"/>
                                              <w:szCs w:val="14"/>
                                              <w:lang w:eastAsia="lt-LT"/>
                                            </w:rPr>
                                            <w:t>Pugačevskytė</w:t>
                                          </w:r>
                                          <w:proofErr w:type="spellEnd"/>
                                          <w:r w:rsidRPr="00063554">
                                            <w:rPr>
                                              <w:rFonts w:ascii="Century Gothic" w:eastAsia="Times New Roman" w:hAnsi="Century Gothic" w:cs="Times New Roman"/>
                                              <w:color w:val="595959"/>
                                              <w:sz w:val="14"/>
                                              <w:szCs w:val="14"/>
                                              <w:lang w:eastAsia="lt-LT"/>
                                            </w:rPr>
                                            <w:t xml:space="preserve">. Taip pat pranešimus skaitė doc. dr. Giedrė </w:t>
                                          </w:r>
                                          <w:proofErr w:type="spellStart"/>
                                          <w:r w:rsidRPr="00063554">
                                            <w:rPr>
                                              <w:rFonts w:ascii="Century Gothic" w:eastAsia="Times New Roman" w:hAnsi="Century Gothic" w:cs="Times New Roman"/>
                                              <w:color w:val="595959"/>
                                              <w:sz w:val="14"/>
                                              <w:szCs w:val="14"/>
                                              <w:lang w:eastAsia="lt-LT"/>
                                            </w:rPr>
                                            <w:t>Mickūnaitė</w:t>
                                          </w:r>
                                          <w:proofErr w:type="spellEnd"/>
                                          <w:r w:rsidRPr="00063554">
                                            <w:rPr>
                                              <w:rFonts w:ascii="Century Gothic" w:eastAsia="Times New Roman" w:hAnsi="Century Gothic" w:cs="Times New Roman"/>
                                              <w:color w:val="595959"/>
                                              <w:sz w:val="14"/>
                                              <w:szCs w:val="14"/>
                                              <w:lang w:eastAsia="lt-LT"/>
                                            </w:rPr>
                                            <w:t xml:space="preserve">, archeologas Valdas </w:t>
                                          </w:r>
                                          <w:proofErr w:type="spellStart"/>
                                          <w:r w:rsidRPr="00063554">
                                            <w:rPr>
                                              <w:rFonts w:ascii="Century Gothic" w:eastAsia="Times New Roman" w:hAnsi="Century Gothic" w:cs="Times New Roman"/>
                                              <w:color w:val="595959"/>
                                              <w:sz w:val="14"/>
                                              <w:szCs w:val="14"/>
                                              <w:lang w:eastAsia="lt-LT"/>
                                            </w:rPr>
                                            <w:t>Steponaitis</w:t>
                                          </w:r>
                                          <w:proofErr w:type="spellEnd"/>
                                          <w:r w:rsidRPr="00063554">
                                            <w:rPr>
                                              <w:rFonts w:ascii="Century Gothic" w:eastAsia="Times New Roman" w:hAnsi="Century Gothic" w:cs="Times New Roman"/>
                                              <w:color w:val="595959"/>
                                              <w:sz w:val="14"/>
                                              <w:szCs w:val="14"/>
                                              <w:lang w:eastAsia="lt-LT"/>
                                            </w:rPr>
                                            <w:t xml:space="preserve"> ir Saulius Poderis. Renginys vyko Bažnytinio paveldo muziejuje, Šv. arkangelo Mykolo bažnyčioje.</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 xml:space="preserve">Pirmoje mokymų dalyje dr. Sigita </w:t>
                                          </w:r>
                                          <w:proofErr w:type="spellStart"/>
                                          <w:r w:rsidRPr="00063554">
                                            <w:rPr>
                                              <w:rFonts w:ascii="Century Gothic" w:eastAsia="Times New Roman" w:hAnsi="Century Gothic" w:cs="Times New Roman"/>
                                              <w:color w:val="595959"/>
                                              <w:sz w:val="14"/>
                                              <w:szCs w:val="14"/>
                                              <w:lang w:eastAsia="lt-LT"/>
                                            </w:rPr>
                                            <w:t>Maslauskaitė-Mažylienė</w:t>
                                          </w:r>
                                          <w:proofErr w:type="spellEnd"/>
                                          <w:r w:rsidRPr="00063554">
                                            <w:rPr>
                                              <w:rFonts w:ascii="Century Gothic" w:eastAsia="Times New Roman" w:hAnsi="Century Gothic" w:cs="Times New Roman"/>
                                              <w:color w:val="595959"/>
                                              <w:sz w:val="14"/>
                                              <w:szCs w:val="14"/>
                                              <w:lang w:eastAsia="lt-LT"/>
                                            </w:rPr>
                                            <w:t xml:space="preserve"> vaizdžiai ir išsamiai pristatė Bažnytinio paveldo muziejų. Prezentacijoje buvo aptartas Šv. arkangelo Mykolo bažnyčios ir vienuolyno ansamblis, funduotas vieno iškiliausių ir įtakingiausių XVII a. pradžios didikų Leono Sapiegos. Pabrėžtas ansamblio architektūrinis išskirtinumas bei jo istorija, puikiai atspindinti visos Lietuvos Didžiosios Kunigaikštystės ir Lietuvos istoriją. Pristatyta šiandieninė muziejaus ekspozicija, išskiriant išlikusius Sapiegų giminės atstovų antkapinius paminklus, vienuolių gyvenimą menančias bažnyčios detales bei tris nuolatinėje ekspozicijoje esančius lobynus: Vilniaus katedros, Vilniaus Šv. Petro ir Povilo bažnyčios ir Trakų bažnyčios.</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 xml:space="preserve">Antra šių mokymų dalis buvo skirta Vilniaus katedros požemiams. Per juos Gintvilė </w:t>
                                          </w:r>
                                          <w:proofErr w:type="spellStart"/>
                                          <w:r w:rsidRPr="00063554">
                                            <w:rPr>
                                              <w:rFonts w:ascii="Century Gothic" w:eastAsia="Times New Roman" w:hAnsi="Century Gothic" w:cs="Times New Roman"/>
                                              <w:color w:val="595959"/>
                                              <w:sz w:val="14"/>
                                              <w:szCs w:val="14"/>
                                              <w:lang w:eastAsia="lt-LT"/>
                                            </w:rPr>
                                            <w:t>Pugačevskytė</w:t>
                                          </w:r>
                                          <w:proofErr w:type="spellEnd"/>
                                          <w:r w:rsidRPr="00063554">
                                            <w:rPr>
                                              <w:rFonts w:ascii="Century Gothic" w:eastAsia="Times New Roman" w:hAnsi="Century Gothic" w:cs="Times New Roman"/>
                                              <w:color w:val="595959"/>
                                              <w:sz w:val="14"/>
                                              <w:szCs w:val="14"/>
                                              <w:lang w:eastAsia="lt-LT"/>
                                            </w:rPr>
                                            <w:t xml:space="preserve"> trumpai pristatė Vilniaus katedros istoriją, jos kitimą ir specifines problemas, kurias skirtingais amžiais mėginta įvairiais būdais spręsti. Taip pat aptarti požemiai, jų paskirtis, archeologų darbas ir jo rezultatai. Dėmesio skirta palaidojimams katedroje, palaikų tyrimų ypatybėms bei bendrosioms tendencijoms.</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Saulius Poderis paskaitė pranešimą apie Karalių kriptą. Pristatęs jos atradimą kaip vieną svarbiausių XX a. pr. įvykių, jis smulkiai aptarė kilusį visuomenės susidomėjimą, mokslininkų ir menininkų darbus, susijusius su kriptos ir atrastų karalių palaikų tvarkymu, įamžinimu ir dabartine poilsio vieta – Karališkuoju mauzoliejumi. Taip pat, remdamasis istorine medžiaga, S. Poderis nurodė priežastis, kodėl valdovai atsidūrė būtent toje kriptoje ir kaip joje buvo pamiršti.</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 xml:space="preserve">Archeologas Valdas </w:t>
                                          </w:r>
                                          <w:proofErr w:type="spellStart"/>
                                          <w:r w:rsidRPr="00063554">
                                            <w:rPr>
                                              <w:rFonts w:ascii="Century Gothic" w:eastAsia="Times New Roman" w:hAnsi="Century Gothic" w:cs="Times New Roman"/>
                                              <w:color w:val="595959"/>
                                              <w:sz w:val="14"/>
                                              <w:szCs w:val="14"/>
                                              <w:lang w:eastAsia="lt-LT"/>
                                            </w:rPr>
                                            <w:t>Steponaitis</w:t>
                                          </w:r>
                                          <w:proofErr w:type="spellEnd"/>
                                          <w:r w:rsidRPr="00063554">
                                            <w:rPr>
                                              <w:rFonts w:ascii="Century Gothic" w:eastAsia="Times New Roman" w:hAnsi="Century Gothic" w:cs="Times New Roman"/>
                                              <w:color w:val="595959"/>
                                              <w:sz w:val="14"/>
                                              <w:szCs w:val="14"/>
                                              <w:lang w:eastAsia="lt-LT"/>
                                            </w:rPr>
                                            <w:t xml:space="preserve"> pristatė archeologinius tyrimus ir radinius Vilniaus katedros požemiuose. Jis teigė, kad radinių nėra tiek daug, kiek norėtųsi, tačiau ir šiuos galima skirstyti į keletą grupių bei daryti tyrimus. Archeologas trumpai aptarė statybines medžiagas (plytas, koklius, čerpes, grindų plyteles), naudotas statant Katedrą, taip pat keramikos iš pirmo tūkstantmečio po Kristaus likučius. Taip pat paminėjo nors ir negausias, tačiau didelį įspūdį darančias atrastas įkapes bei monetas su valdovų herbais.</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 xml:space="preserve">Vilniaus katedros požemiuose taip pat galima pamatyti vieną seniausių Lietuvoje freskų. Apie ją pranešimą skaitė doc. dr. Giedrė </w:t>
                                          </w:r>
                                          <w:proofErr w:type="spellStart"/>
                                          <w:r w:rsidRPr="00063554">
                                            <w:rPr>
                                              <w:rFonts w:ascii="Century Gothic" w:eastAsia="Times New Roman" w:hAnsi="Century Gothic" w:cs="Times New Roman"/>
                                              <w:color w:val="595959"/>
                                              <w:sz w:val="14"/>
                                              <w:szCs w:val="14"/>
                                              <w:lang w:eastAsia="lt-LT"/>
                                            </w:rPr>
                                            <w:t>Mickūnaitė</w:t>
                                          </w:r>
                                          <w:proofErr w:type="spellEnd"/>
                                          <w:r w:rsidRPr="00063554">
                                            <w:rPr>
                                              <w:rFonts w:ascii="Century Gothic" w:eastAsia="Times New Roman" w:hAnsi="Century Gothic" w:cs="Times New Roman"/>
                                              <w:color w:val="595959"/>
                                              <w:sz w:val="14"/>
                                              <w:szCs w:val="14"/>
                                              <w:lang w:eastAsia="lt-LT"/>
                                            </w:rPr>
                                            <w:t>. Aptardama bendrą kontekstą, kuriame buvo tapomos tokio tipo freskos, docentė pabrėžė šios išskirtinumą, nurodydama jungtį tarp dviejų tradicijų – katalikiškos ir stačiatikiškos. Taip pat ji nurodė ir funkcinę šios freskos paskirtį: ji buvo skirta mirusiajam, kad primintų apie tikėjimą, Kristaus mirtį ir prisikėlimą.</w:t>
                                          </w:r>
                                          <w:r w:rsidRPr="00063554">
                                            <w:rPr>
                                              <w:rFonts w:ascii="Century Gothic" w:eastAsia="Times New Roman" w:hAnsi="Century Gothic" w:cs="Times New Roman"/>
                                              <w:color w:val="595959"/>
                                              <w:sz w:val="14"/>
                                              <w:szCs w:val="14"/>
                                              <w:lang w:eastAsia="lt-LT"/>
                                            </w:rPr>
                                            <w:br/>
                                          </w:r>
                                          <w:r w:rsidRPr="00063554">
                                            <w:rPr>
                                              <w:rFonts w:ascii="Century Gothic" w:eastAsia="Times New Roman" w:hAnsi="Century Gothic" w:cs="Times New Roman"/>
                                              <w:color w:val="595959"/>
                                              <w:sz w:val="14"/>
                                              <w:szCs w:val="14"/>
                                              <w:lang w:eastAsia="lt-LT"/>
                                            </w:rPr>
                                            <w:br/>
                                            <w:t xml:space="preserve">Mokymuose dalyvavo daugiau kaip 70 gidų, jie galėjo užduoti klausimus, konsultuotis ir tikslinti turimą informaciją. Gidai, norintys gauti akreditaciją vesti ekskursijas po Bažnytinio paveldo muziejų ir Vilniaus katedros požemius, šių mokymų medžiagą gali panaudoti rengdami akreditacinius tekstus, o tie, kurie jau turėjo leidimus vesti ekskursijas, pasinaudojo puikia proga atnaujinti ir papildyti savo žinias apie šiuos objektus. Neverta nusiminti tiems, kurie nedalyvavo gidų mokymuose, tačiau ekskursijas vesti nori. Išsami mokymų medžiaga bus įdėta į internetinę erdvę. Sąlygos gidams, norintiems gauti akreditaciją, yra skelbiamos Bažnytinio paveldo muziejaus internetiniame tinklalapyje </w:t>
                                          </w:r>
                                          <w:proofErr w:type="spellStart"/>
                                          <w:r w:rsidRPr="00063554">
                                            <w:rPr>
                                              <w:rFonts w:ascii="Century Gothic" w:eastAsia="Times New Roman" w:hAnsi="Century Gothic" w:cs="Times New Roman"/>
                                              <w:color w:val="595959"/>
                                              <w:sz w:val="14"/>
                                              <w:szCs w:val="14"/>
                                              <w:lang w:eastAsia="lt-LT"/>
                                            </w:rPr>
                                            <w:t>www.bpmuziejus.lt</w:t>
                                          </w:r>
                                          <w:proofErr w:type="spellEnd"/>
                                          <w:r w:rsidRPr="00063554">
                                            <w:rPr>
                                              <w:rFonts w:ascii="Century Gothic" w:eastAsia="Times New Roman" w:hAnsi="Century Gothic" w:cs="Times New Roman"/>
                                              <w:color w:val="595959"/>
                                              <w:sz w:val="14"/>
                                              <w:szCs w:val="14"/>
                                              <w:lang w:eastAsia="lt-LT"/>
                                            </w:rPr>
                                            <w:t>, skiltyje „Gidams“.</w:t>
                                          </w:r>
                                          <w:r w:rsidRPr="00063554">
                                            <w:rPr>
                                              <w:rFonts w:ascii="Century Gothic" w:eastAsia="Times New Roman" w:hAnsi="Century Gothic" w:cs="Times New Roman"/>
                                              <w:color w:val="595959"/>
                                              <w:sz w:val="14"/>
                                              <w:szCs w:val="14"/>
                                              <w:lang w:eastAsia="lt-LT"/>
                                            </w:rPr>
                                            <w:br/>
                                            <w:t> </w:t>
                                          </w:r>
                                        </w:p>
                                      </w:tc>
                                      <w:tc>
                                        <w:tcPr>
                                          <w:tcW w:w="229" w:type="dxa"/>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bl>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bl>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c>
                            <w:tcPr>
                              <w:tcW w:w="0" w:type="auto"/>
                              <w:tcMar>
                                <w:top w:w="0" w:type="dxa"/>
                                <w:left w:w="0" w:type="dxa"/>
                                <w:bottom w:w="0" w:type="dxa"/>
                                <w:right w:w="0" w:type="dxa"/>
                              </w:tcMar>
                              <w:vAlign w:val="cente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bl>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c>
                      <w:tcPr>
                        <w:tcW w:w="229" w:type="dxa"/>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r w:rsidR="00063554" w:rsidRPr="00063554">
                    <w:trPr>
                      <w:trHeight w:val="229"/>
                    </w:trPr>
                    <w:tc>
                      <w:tcPr>
                        <w:tcW w:w="0" w:type="auto"/>
                        <w:gridSpan w:val="2"/>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bl>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r>
          </w:tbl>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p>
        </w:tc>
        <w:tc>
          <w:tcPr>
            <w:tcW w:w="126" w:type="dxa"/>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4"/>
                <w:szCs w:val="14"/>
                <w:lang w:eastAsia="lt-LT"/>
              </w:rPr>
            </w:pPr>
            <w:r w:rsidRPr="00063554">
              <w:rPr>
                <w:rFonts w:ascii="Century Gothic" w:eastAsia="Times New Roman" w:hAnsi="Century Gothic" w:cs="Times New Roman"/>
                <w:color w:val="595959"/>
                <w:sz w:val="14"/>
                <w:szCs w:val="14"/>
                <w:lang w:eastAsia="lt-LT"/>
              </w:rPr>
              <w:t> </w:t>
            </w:r>
          </w:p>
        </w:tc>
      </w:tr>
      <w:tr w:rsidR="00063554" w:rsidRPr="00063554">
        <w:trPr>
          <w:trHeight w:val="126"/>
        </w:trPr>
        <w:tc>
          <w:tcPr>
            <w:tcW w:w="0" w:type="auto"/>
            <w:tcMar>
              <w:top w:w="0" w:type="dxa"/>
              <w:left w:w="0" w:type="dxa"/>
              <w:bottom w:w="0" w:type="dxa"/>
              <w:right w:w="0" w:type="dxa"/>
            </w:tcMar>
            <w:hideMark/>
          </w:tcPr>
          <w:p w:rsidR="00063554" w:rsidRPr="00063554" w:rsidRDefault="00063554" w:rsidP="00063554">
            <w:pPr>
              <w:spacing w:after="0" w:line="240" w:lineRule="auto"/>
              <w:rPr>
                <w:rFonts w:ascii="Century Gothic" w:eastAsia="Times New Roman" w:hAnsi="Century Gothic" w:cs="Times New Roman"/>
                <w:color w:val="595959"/>
                <w:sz w:val="12"/>
                <w:szCs w:val="14"/>
                <w:lang w:eastAsia="lt-LT"/>
              </w:rPr>
            </w:pPr>
          </w:p>
        </w:tc>
        <w:tc>
          <w:tcPr>
            <w:tcW w:w="0" w:type="auto"/>
            <w:vAlign w:val="center"/>
            <w:hideMark/>
          </w:tcPr>
          <w:p w:rsidR="00063554" w:rsidRPr="00063554" w:rsidRDefault="00063554" w:rsidP="00063554">
            <w:pPr>
              <w:spacing w:after="0" w:line="240" w:lineRule="auto"/>
              <w:rPr>
                <w:rFonts w:ascii="Times New Roman" w:eastAsia="Times New Roman" w:hAnsi="Times New Roman" w:cs="Times New Roman"/>
                <w:sz w:val="20"/>
                <w:szCs w:val="20"/>
                <w:lang w:eastAsia="lt-LT"/>
              </w:rPr>
            </w:pPr>
          </w:p>
        </w:tc>
      </w:tr>
    </w:tbl>
    <w:p w:rsidR="00916283" w:rsidRDefault="00916283"/>
    <w:sectPr w:rsidR="00916283" w:rsidSect="0091628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296"/>
  <w:hyphenationZone w:val="396"/>
  <w:characterSpacingControl w:val="doNotCompress"/>
  <w:compat/>
  <w:rsids>
    <w:rsidRoot w:val="00063554"/>
    <w:rsid w:val="00063554"/>
    <w:rsid w:val="00916283"/>
    <w:rsid w:val="00EE7D5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62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635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635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3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380841">
      <w:bodyDiv w:val="1"/>
      <w:marLeft w:val="0"/>
      <w:marRight w:val="0"/>
      <w:marTop w:val="0"/>
      <w:marBottom w:val="0"/>
      <w:divBdr>
        <w:top w:val="none" w:sz="0" w:space="0" w:color="auto"/>
        <w:left w:val="none" w:sz="0" w:space="0" w:color="auto"/>
        <w:bottom w:val="none" w:sz="0" w:space="0" w:color="auto"/>
        <w:right w:val="none" w:sz="0" w:space="0" w:color="auto"/>
      </w:divBdr>
      <w:divsChild>
        <w:div w:id="487669145">
          <w:marLeft w:val="0"/>
          <w:marRight w:val="0"/>
          <w:marTop w:val="0"/>
          <w:marBottom w:val="0"/>
          <w:divBdr>
            <w:top w:val="single" w:sz="2" w:space="0" w:color="0000FF"/>
            <w:left w:val="single" w:sz="2" w:space="0" w:color="0000FF"/>
            <w:bottom w:val="single" w:sz="2" w:space="0" w:color="0000FF"/>
            <w:right w:val="single" w:sz="2" w:space="0" w:color="0000FF"/>
          </w:divBdr>
          <w:divsChild>
            <w:div w:id="176568303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2451</Words>
  <Characters>1398</Characters>
  <Application>Microsoft Office Word</Application>
  <DocSecurity>0</DocSecurity>
  <Lines>11</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2015-05-18T06:46:00Z</dcterms:created>
  <dcterms:modified xsi:type="dcterms:W3CDTF">2015-05-18T06:47:00Z</dcterms:modified>
</cp:coreProperties>
</file>